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1337">
      <w:pPr>
        <w:pStyle w:val="4"/>
        <w:keepNext w:val="0"/>
        <w:keepLines w:val="0"/>
        <w:widowControl/>
        <w:suppressLineNumbers w:val="0"/>
        <w:bidi w:val="0"/>
        <w:spacing w:before="240" w:beforeAutospacing="0" w:after="240" w:afterAutospacing="0" w:line="17" w:lineRule="atLeast"/>
        <w:jc w:val="center"/>
        <w:rPr>
          <w:rFonts w:hint="default" w:ascii="Arial" w:hAnsi="Arial" w:cs="Arial"/>
          <w:b/>
          <w:bCs/>
          <w:i w:val="0"/>
          <w:iCs w:val="0"/>
          <w:color w:val="2D6CAB"/>
          <w:sz w:val="21"/>
          <w:szCs w:val="21"/>
          <w:u w:val="none"/>
          <w:vertAlign w:val="baseline"/>
        </w:rPr>
      </w:pPr>
      <w:r>
        <w:rPr>
          <w:rFonts w:hint="default" w:ascii="Arial" w:hAnsi="Arial" w:cs="Arial"/>
          <w:b/>
          <w:bCs/>
          <w:i w:val="0"/>
          <w:iCs w:val="0"/>
          <w:color w:val="2D6CAB"/>
          <w:sz w:val="21"/>
          <w:szCs w:val="21"/>
          <w:u w:val="none"/>
          <w:vertAlign w:val="baseline"/>
        </w:rPr>
        <w:t>GCL</w:t>
      </w:r>
      <w:r>
        <w:rPr>
          <w:rFonts w:hint="eastAsia" w:ascii="Arial" w:hAnsi="Arial" w:cs="Arial"/>
          <w:b/>
          <w:bCs/>
          <w:i w:val="0"/>
          <w:iCs w:val="0"/>
          <w:color w:val="2D6CAB"/>
          <w:sz w:val="21"/>
          <w:szCs w:val="21"/>
          <w:u w:val="none"/>
          <w:vertAlign w:val="baseline"/>
          <w:lang w:val="en-US" w:eastAsia="zh-CN"/>
        </w:rPr>
        <w:t xml:space="preserve"> </w:t>
      </w:r>
      <w:r>
        <w:rPr>
          <w:rFonts w:hint="default" w:ascii="Arial" w:hAnsi="Arial" w:cs="Arial"/>
          <w:b/>
          <w:bCs/>
          <w:i w:val="0"/>
          <w:iCs w:val="0"/>
          <w:color w:val="2D6CAB"/>
          <w:sz w:val="21"/>
          <w:szCs w:val="21"/>
          <w:u w:val="none"/>
          <w:vertAlign w:val="baseline"/>
        </w:rPr>
        <w:t>SI Due Diligence Approach</w:t>
      </w:r>
    </w:p>
    <w:p w14:paraId="1DC00285">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17" w:lineRule="atLeast"/>
        <w:jc w:val="both"/>
        <w:textAlignment w:val="auto"/>
        <w:rPr>
          <w:rFonts w:hint="default" w:ascii="Arial" w:hAnsi="Arial" w:cs="Arial"/>
          <w:b w:val="0"/>
          <w:bCs w:val="0"/>
          <w:sz w:val="21"/>
          <w:szCs w:val="21"/>
        </w:rPr>
      </w:pPr>
      <w:r>
        <w:rPr>
          <w:rFonts w:hint="default" w:ascii="Arial" w:hAnsi="Arial" w:cs="Arial"/>
          <w:b w:val="0"/>
          <w:bCs w:val="0"/>
          <w:i w:val="0"/>
          <w:iCs w:val="0"/>
          <w:color w:val="000000"/>
          <w:sz w:val="21"/>
          <w:szCs w:val="21"/>
          <w:u w:val="none"/>
          <w:vertAlign w:val="baseline"/>
        </w:rPr>
        <w:t xml:space="preserve">GCL SI carries out comprehensive daily supplier management in strict accordance with the </w:t>
      </w:r>
      <w:r>
        <w:rPr>
          <w:rFonts w:hint="default" w:ascii="Arial" w:hAnsi="Arial" w:cs="Arial"/>
          <w:b w:val="0"/>
          <w:bCs w:val="0"/>
          <w:i/>
          <w:iCs/>
          <w:color w:val="000000"/>
          <w:sz w:val="21"/>
          <w:szCs w:val="21"/>
          <w:u w:val="none"/>
          <w:vertAlign w:val="baseline"/>
        </w:rPr>
        <w:t>Supplier Management Standard</w:t>
      </w:r>
      <w:r>
        <w:rPr>
          <w:rFonts w:hint="default" w:ascii="Arial" w:hAnsi="Arial" w:cs="Arial"/>
          <w:b w:val="0"/>
          <w:bCs w:val="0"/>
          <w:i w:val="0"/>
          <w:iCs w:val="0"/>
          <w:color w:val="000000"/>
          <w:sz w:val="21"/>
          <w:szCs w:val="21"/>
          <w:u w:val="none"/>
          <w:vertAlign w:val="baseline"/>
        </w:rPr>
        <w:t xml:space="preserve"> and the </w:t>
      </w:r>
      <w:r>
        <w:rPr>
          <w:rFonts w:hint="default" w:ascii="Arial" w:hAnsi="Arial" w:cs="Arial"/>
          <w:b w:val="0"/>
          <w:bCs w:val="0"/>
          <w:i/>
          <w:iCs/>
          <w:color w:val="000000"/>
          <w:sz w:val="21"/>
          <w:szCs w:val="21"/>
          <w:u w:val="none"/>
          <w:vertAlign w:val="baseline"/>
        </w:rPr>
        <w:t>Procurement Process Control Procedure</w:t>
      </w:r>
      <w:r>
        <w:rPr>
          <w:rFonts w:hint="default" w:ascii="Arial" w:hAnsi="Arial" w:cs="Arial"/>
          <w:b w:val="0"/>
          <w:bCs w:val="0"/>
          <w:i w:val="0"/>
          <w:iCs w:val="0"/>
          <w:color w:val="000000"/>
          <w:sz w:val="21"/>
          <w:szCs w:val="21"/>
          <w:u w:val="none"/>
          <w:vertAlign w:val="baseline"/>
        </w:rPr>
        <w:t>. Our approach ensures scientific, transparent, and equitable supplier oversight through robust mechanisms for classification, grading, performance evaluation, and review.</w:t>
      </w:r>
      <w:bookmarkStart w:id="0" w:name="_GoBack"/>
      <w:bookmarkEnd w:id="0"/>
    </w:p>
    <w:p w14:paraId="43AE4B0D">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17" w:lineRule="atLeast"/>
        <w:jc w:val="both"/>
        <w:textAlignment w:val="auto"/>
        <w:rPr>
          <w:rFonts w:hint="default" w:ascii="Arial" w:hAnsi="Arial" w:cs="Arial"/>
          <w:b w:val="0"/>
          <w:bCs w:val="0"/>
          <w:sz w:val="21"/>
          <w:szCs w:val="21"/>
        </w:rPr>
      </w:pPr>
      <w:r>
        <w:rPr>
          <w:rFonts w:hint="default" w:ascii="Arial" w:hAnsi="Arial" w:cs="Arial"/>
          <w:b w:val="0"/>
          <w:bCs w:val="0"/>
          <w:i w:val="0"/>
          <w:iCs w:val="0"/>
          <w:color w:val="000000"/>
          <w:sz w:val="21"/>
          <w:szCs w:val="21"/>
          <w:u w:val="none"/>
          <w:vertAlign w:val="baseline"/>
        </w:rPr>
        <w:t xml:space="preserve">We have further enhanced our </w:t>
      </w:r>
      <w:r>
        <w:rPr>
          <w:rFonts w:hint="default" w:ascii="Arial" w:hAnsi="Arial" w:cs="Arial"/>
          <w:b w:val="0"/>
          <w:bCs w:val="0"/>
          <w:i/>
          <w:iCs/>
          <w:color w:val="000000"/>
          <w:sz w:val="21"/>
          <w:szCs w:val="21"/>
          <w:u w:val="none"/>
          <w:vertAlign w:val="baseline"/>
        </w:rPr>
        <w:t>Supplier Management Control Procedure</w:t>
      </w:r>
      <w:r>
        <w:rPr>
          <w:rFonts w:hint="default" w:ascii="Arial" w:hAnsi="Arial" w:cs="Arial"/>
          <w:b w:val="0"/>
          <w:bCs w:val="0"/>
          <w:i w:val="0"/>
          <w:iCs w:val="0"/>
          <w:color w:val="000000"/>
          <w:sz w:val="21"/>
          <w:szCs w:val="21"/>
          <w:u w:val="none"/>
          <w:vertAlign w:val="baseline"/>
        </w:rPr>
        <w:t xml:space="preserve"> by strengthening requirements related to supplier training and social responsibility management. These initiatives are designed to deepen suppliers’ understanding of and compliance with GCL SI’s </w:t>
      </w:r>
      <w:r>
        <w:rPr>
          <w:rFonts w:hint="default" w:ascii="Arial" w:hAnsi="Arial" w:cs="Arial"/>
          <w:b w:val="0"/>
          <w:bCs w:val="0"/>
          <w:i/>
          <w:iCs/>
          <w:color w:val="000000"/>
          <w:sz w:val="21"/>
          <w:szCs w:val="21"/>
          <w:u w:val="none"/>
          <w:vertAlign w:val="baseline"/>
        </w:rPr>
        <w:t>Code of Conduct for Business Partners</w:t>
      </w:r>
      <w:r>
        <w:rPr>
          <w:rFonts w:hint="default" w:ascii="Arial" w:hAnsi="Arial" w:cs="Arial"/>
          <w:b w:val="0"/>
          <w:bCs w:val="0"/>
          <w:i w:val="0"/>
          <w:iCs w:val="0"/>
          <w:color w:val="000000"/>
          <w:sz w:val="21"/>
          <w:szCs w:val="21"/>
          <w:u w:val="none"/>
          <w:vertAlign w:val="baseline"/>
        </w:rPr>
        <w:t xml:space="preserve">, </w:t>
      </w:r>
      <w:r>
        <w:rPr>
          <w:rFonts w:hint="default" w:ascii="Arial" w:hAnsi="Arial" w:cs="Arial"/>
          <w:b w:val="0"/>
          <w:bCs w:val="0"/>
          <w:i/>
          <w:iCs/>
          <w:color w:val="000000"/>
          <w:sz w:val="21"/>
          <w:szCs w:val="21"/>
          <w:u w:val="none"/>
          <w:vertAlign w:val="baseline"/>
        </w:rPr>
        <w:t>Anti-Corruption Policy</w:t>
      </w:r>
      <w:r>
        <w:rPr>
          <w:rFonts w:hint="default" w:ascii="Arial" w:hAnsi="Arial" w:cs="Arial"/>
          <w:b w:val="0"/>
          <w:bCs w:val="0"/>
          <w:i w:val="0"/>
          <w:iCs w:val="0"/>
          <w:color w:val="000000"/>
          <w:sz w:val="21"/>
          <w:szCs w:val="21"/>
          <w:u w:val="none"/>
          <w:vertAlign w:val="baseline"/>
        </w:rPr>
        <w:t xml:space="preserve">, </w:t>
      </w:r>
      <w:r>
        <w:rPr>
          <w:rFonts w:hint="default" w:ascii="Arial" w:hAnsi="Arial" w:cs="Arial"/>
          <w:b w:val="0"/>
          <w:bCs w:val="0"/>
          <w:i/>
          <w:iCs/>
          <w:color w:val="000000"/>
          <w:sz w:val="21"/>
          <w:szCs w:val="21"/>
          <w:u w:val="none"/>
          <w:vertAlign w:val="baseline"/>
        </w:rPr>
        <w:t>Human Rights Policy</w:t>
      </w:r>
      <w:r>
        <w:rPr>
          <w:rFonts w:hint="default" w:ascii="Arial" w:hAnsi="Arial" w:cs="Arial"/>
          <w:b w:val="0"/>
          <w:bCs w:val="0"/>
          <w:i w:val="0"/>
          <w:iCs w:val="0"/>
          <w:color w:val="000000"/>
          <w:sz w:val="21"/>
          <w:szCs w:val="21"/>
          <w:u w:val="none"/>
          <w:vertAlign w:val="baseline"/>
        </w:rPr>
        <w:t xml:space="preserve">, and </w:t>
      </w:r>
      <w:r>
        <w:rPr>
          <w:rFonts w:hint="default" w:ascii="Arial" w:hAnsi="Arial" w:cs="Arial"/>
          <w:b w:val="0"/>
          <w:bCs w:val="0"/>
          <w:i/>
          <w:iCs/>
          <w:color w:val="000000"/>
          <w:sz w:val="21"/>
          <w:szCs w:val="21"/>
          <w:u w:val="none"/>
          <w:vertAlign w:val="baseline"/>
        </w:rPr>
        <w:t>Conflict Minerals Policy</w:t>
      </w:r>
      <w:r>
        <w:rPr>
          <w:rFonts w:hint="default" w:ascii="Arial" w:hAnsi="Arial" w:cs="Arial"/>
          <w:b w:val="0"/>
          <w:bCs w:val="0"/>
          <w:i w:val="0"/>
          <w:iCs w:val="0"/>
          <w:color w:val="000000"/>
          <w:sz w:val="21"/>
          <w:szCs w:val="21"/>
          <w:u w:val="none"/>
          <w:vertAlign w:val="baseline"/>
        </w:rPr>
        <w:t>, thereby reinforcing responsible business practices across environmental, social, and governance dimensions.</w:t>
      </w:r>
    </w:p>
    <w:p w14:paraId="3F29CC9B">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17" w:lineRule="atLeast"/>
        <w:jc w:val="both"/>
        <w:textAlignment w:val="auto"/>
        <w:rPr>
          <w:rFonts w:hint="default" w:ascii="Arial" w:hAnsi="Arial" w:cs="Arial"/>
          <w:b w:val="0"/>
          <w:bCs w:val="0"/>
          <w:sz w:val="21"/>
          <w:szCs w:val="21"/>
        </w:rPr>
      </w:pPr>
      <w:r>
        <w:rPr>
          <w:rFonts w:hint="default" w:ascii="Arial" w:hAnsi="Arial" w:cs="Arial"/>
          <w:b w:val="0"/>
          <w:bCs w:val="0"/>
          <w:i w:val="0"/>
          <w:iCs w:val="0"/>
          <w:color w:val="000000"/>
          <w:sz w:val="21"/>
          <w:szCs w:val="21"/>
          <w:u w:val="none"/>
          <w:vertAlign w:val="baseline"/>
        </w:rPr>
        <w:t>Recognizing that social and labor conditions within our supply chain are a key component of the “S” in ESG, GCL SI conducts social and labor due diligence as part of supplier assessments. This includes evaluating workplace health and safety, human rights protection, fair labor practices, and the prevention of forced or child labor.</w:t>
      </w:r>
    </w:p>
    <w:p w14:paraId="34FA5857">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17" w:lineRule="atLeast"/>
        <w:jc w:val="both"/>
        <w:textAlignment w:val="auto"/>
        <w:rPr>
          <w:rFonts w:hint="default" w:ascii="Arial" w:hAnsi="Arial" w:cs="Arial"/>
          <w:b w:val="0"/>
          <w:bCs w:val="0"/>
          <w:sz w:val="21"/>
          <w:szCs w:val="21"/>
        </w:rPr>
      </w:pPr>
      <w:r>
        <w:rPr>
          <w:rFonts w:hint="default" w:ascii="Arial" w:hAnsi="Arial" w:cs="Arial"/>
          <w:b w:val="0"/>
          <w:bCs w:val="0"/>
          <w:i w:val="0"/>
          <w:iCs w:val="0"/>
          <w:color w:val="000000"/>
          <w:sz w:val="21"/>
          <w:szCs w:val="21"/>
          <w:u w:val="none"/>
          <w:vertAlign w:val="baseline"/>
        </w:rPr>
        <w:t>Suppliers are categorized as strategic, preferred, general, or rectification suppliers. For those requiring rectification, we implement a supplier improvement plan; failure to meet standards after the rectification period results in activation of our supplier exit mechanism.</w:t>
      </w:r>
    </w:p>
    <w:p w14:paraId="5A2CAEFB">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17" w:lineRule="atLeast"/>
        <w:jc w:val="both"/>
        <w:textAlignment w:val="auto"/>
        <w:rPr>
          <w:rFonts w:hint="default" w:ascii="Arial" w:hAnsi="Arial" w:cs="Arial"/>
          <w:b w:val="0"/>
          <w:bCs w:val="0"/>
          <w:sz w:val="21"/>
          <w:szCs w:val="21"/>
        </w:rPr>
      </w:pPr>
      <w:r>
        <w:rPr>
          <w:rFonts w:hint="default" w:ascii="Arial" w:hAnsi="Arial" w:cs="Arial"/>
          <w:b w:val="0"/>
          <w:bCs w:val="0"/>
          <w:i w:val="0"/>
          <w:iCs w:val="0"/>
          <w:color w:val="000000"/>
          <w:sz w:val="21"/>
          <w:szCs w:val="21"/>
          <w:u w:val="none"/>
          <w:vertAlign w:val="baseline"/>
        </w:rPr>
        <w:t>Performance evaluations follow the principles of “quality, cost, delivery, and service”, and are jointly conducted by demand, technical, and supply chain departments. Based on performance scores, suppliers are classified into Levels I through IV, covering indicators such as delivery timeliness, product quality, service level, and price competitiveness.</w:t>
      </w:r>
    </w:p>
    <w:p w14:paraId="27E5433D">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17" w:lineRule="atLeast"/>
        <w:jc w:val="both"/>
        <w:textAlignment w:val="auto"/>
        <w:rPr>
          <w:rFonts w:hint="default" w:ascii="Arial" w:hAnsi="Arial" w:cs="Arial"/>
          <w:b w:val="0"/>
          <w:bCs w:val="0"/>
          <w:sz w:val="21"/>
          <w:szCs w:val="21"/>
        </w:rPr>
      </w:pPr>
      <w:r>
        <w:rPr>
          <w:rFonts w:hint="default" w:ascii="Arial" w:hAnsi="Arial" w:cs="Arial"/>
          <w:b w:val="0"/>
          <w:bCs w:val="0"/>
          <w:i w:val="0"/>
          <w:iCs w:val="0"/>
          <w:color w:val="000000"/>
          <w:sz w:val="21"/>
          <w:szCs w:val="21"/>
          <w:u w:val="none"/>
          <w:vertAlign w:val="baseline"/>
        </w:rPr>
        <w:t>GCL SI conducts both on-site and off-site reviews, with irregular visits to strategic suppliers and key business partners. These reviews assess operational performance, quality assurance systems, cost structures, financial health, and—critically—social and environmental compliance. Dialogue with suppliers also focuses on continuous improvement, addressing any issues or suggestions raised during cooperation.</w:t>
      </w:r>
    </w:p>
    <w:p w14:paraId="193DC72D">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17" w:lineRule="atLeast"/>
        <w:jc w:val="both"/>
        <w:textAlignment w:val="auto"/>
        <w:rPr>
          <w:rFonts w:hint="default" w:ascii="Arial" w:hAnsi="Arial" w:cs="Arial"/>
          <w:b w:val="0"/>
          <w:bCs w:val="0"/>
          <w:sz w:val="21"/>
          <w:szCs w:val="21"/>
        </w:rPr>
      </w:pPr>
      <w:r>
        <w:rPr>
          <w:rFonts w:hint="default" w:ascii="Arial" w:hAnsi="Arial" w:cs="Arial"/>
          <w:b w:val="0"/>
          <w:bCs w:val="0"/>
          <w:i w:val="0"/>
          <w:iCs w:val="0"/>
          <w:color w:val="000000"/>
          <w:sz w:val="21"/>
          <w:szCs w:val="21"/>
          <w:u w:val="none"/>
          <w:vertAlign w:val="baseline"/>
        </w:rPr>
        <w:t xml:space="preserve">We acknowledge that ESG impacts and risks in our supply chain may differ from those in our direct operations. To effectively manage these risks, GCL SI integrates ESG control measures throughout the procurement process and applies the </w:t>
      </w:r>
      <w:r>
        <w:rPr>
          <w:rFonts w:hint="default" w:ascii="Arial" w:hAnsi="Arial" w:cs="Arial"/>
          <w:b w:val="0"/>
          <w:bCs w:val="0"/>
          <w:i/>
          <w:iCs/>
          <w:color w:val="000000"/>
          <w:sz w:val="21"/>
          <w:szCs w:val="21"/>
          <w:u w:val="none"/>
          <w:vertAlign w:val="baseline"/>
        </w:rPr>
        <w:t>EHS Assessment Method</w:t>
      </w:r>
      <w:r>
        <w:rPr>
          <w:rFonts w:hint="default" w:ascii="Arial" w:hAnsi="Arial" w:cs="Arial"/>
          <w:b w:val="0"/>
          <w:bCs w:val="0"/>
          <w:i w:val="0"/>
          <w:iCs w:val="0"/>
          <w:color w:val="000000"/>
          <w:sz w:val="21"/>
          <w:szCs w:val="21"/>
          <w:u w:val="none"/>
          <w:vertAlign w:val="baseline"/>
        </w:rPr>
        <w:t xml:space="preserve"> alongside the </w:t>
      </w:r>
      <w:r>
        <w:rPr>
          <w:rFonts w:hint="default" w:ascii="Arial" w:hAnsi="Arial" w:cs="Arial"/>
          <w:b w:val="0"/>
          <w:bCs w:val="0"/>
          <w:i/>
          <w:iCs/>
          <w:color w:val="000000"/>
          <w:sz w:val="21"/>
          <w:szCs w:val="21"/>
          <w:u w:val="none"/>
          <w:vertAlign w:val="baseline"/>
        </w:rPr>
        <w:t>Supplier Management Control Procedure</w:t>
      </w:r>
      <w:r>
        <w:rPr>
          <w:rFonts w:hint="default" w:ascii="Arial" w:hAnsi="Arial" w:cs="Arial"/>
          <w:b w:val="0"/>
          <w:bCs w:val="0"/>
          <w:i w:val="0"/>
          <w:iCs w:val="0"/>
          <w:color w:val="000000"/>
          <w:sz w:val="21"/>
          <w:szCs w:val="21"/>
          <w:u w:val="none"/>
          <w:vertAlign w:val="baseline"/>
        </w:rPr>
        <w:t xml:space="preserve"> to ensure orderly and efficient ESG management across the value chain.</w:t>
      </w:r>
    </w:p>
    <w:p w14:paraId="49018A88">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17" w:lineRule="atLeast"/>
        <w:jc w:val="both"/>
        <w:textAlignment w:val="auto"/>
        <w:rPr>
          <w:rFonts w:hint="default" w:ascii="Arial" w:hAnsi="Arial" w:cs="Arial"/>
          <w:b w:val="0"/>
          <w:bCs w:val="0"/>
          <w:i w:val="0"/>
          <w:iCs w:val="0"/>
          <w:color w:val="000000"/>
          <w:sz w:val="21"/>
          <w:szCs w:val="21"/>
          <w:u w:val="none"/>
          <w:vertAlign w:val="baseline"/>
        </w:rPr>
      </w:pPr>
      <w:r>
        <w:rPr>
          <w:rFonts w:hint="default" w:ascii="Arial" w:hAnsi="Arial" w:cs="Arial"/>
          <w:b w:val="0"/>
          <w:bCs w:val="0"/>
          <w:i w:val="0"/>
          <w:iCs w:val="0"/>
          <w:color w:val="000000"/>
          <w:sz w:val="21"/>
          <w:szCs w:val="21"/>
          <w:u w:val="none"/>
          <w:vertAlign w:val="baseline"/>
        </w:rPr>
        <w:t>Our responsible sourcing principles include:</w:t>
      </w:r>
    </w:p>
    <w:p w14:paraId="121AC841">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0" w:afterAutospacing="0" w:line="17" w:lineRule="atLeast"/>
        <w:jc w:val="both"/>
        <w:textAlignment w:val="auto"/>
        <w:rPr>
          <w:rFonts w:hint="default" w:ascii="Arial" w:hAnsi="Arial" w:cs="Arial"/>
          <w:b w:val="0"/>
          <w:bCs w:val="0"/>
          <w:sz w:val="21"/>
          <w:szCs w:val="21"/>
        </w:rPr>
      </w:pPr>
      <w:r>
        <w:rPr>
          <w:rFonts w:hint="eastAsia" w:ascii="Arial" w:hAnsi="Arial" w:cs="Arial"/>
          <w:b w:val="0"/>
          <w:bCs w:val="0"/>
          <w:i w:val="0"/>
          <w:iCs w:val="0"/>
          <w:color w:val="000000"/>
          <w:sz w:val="21"/>
          <w:szCs w:val="21"/>
          <w:u w:val="none"/>
          <w:vertAlign w:val="baseline"/>
          <w:lang w:val="en-US" w:eastAsia="zh-CN"/>
        </w:rPr>
        <w:t>·</w:t>
      </w:r>
      <w:r>
        <w:rPr>
          <w:rFonts w:hint="default" w:ascii="Arial" w:hAnsi="Arial" w:cs="Arial"/>
          <w:b w:val="0"/>
          <w:bCs w:val="0"/>
          <w:i w:val="0"/>
          <w:iCs w:val="0"/>
          <w:color w:val="000000"/>
          <w:sz w:val="21"/>
          <w:szCs w:val="21"/>
          <w:u w:val="none"/>
          <w:vertAlign w:val="baseline"/>
        </w:rPr>
        <w:t>Requiring all suppliers to sign Integrity Agreements;</w:t>
      </w:r>
    </w:p>
    <w:p w14:paraId="0B6237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7" w:lineRule="atLeast"/>
        <w:jc w:val="both"/>
        <w:textAlignment w:val="auto"/>
        <w:rPr>
          <w:rFonts w:hint="default" w:ascii="Arial" w:hAnsi="Arial" w:cs="Arial"/>
          <w:b w:val="0"/>
          <w:bCs w:val="0"/>
          <w:i w:val="0"/>
          <w:iCs w:val="0"/>
          <w:color w:val="000000"/>
          <w:sz w:val="21"/>
          <w:szCs w:val="21"/>
          <w:u w:val="none"/>
          <w:vertAlign w:val="baseline"/>
        </w:rPr>
      </w:pPr>
      <w:r>
        <w:rPr>
          <w:rFonts w:hint="eastAsia" w:ascii="Arial" w:hAnsi="Arial" w:cs="Arial"/>
          <w:b w:val="0"/>
          <w:bCs w:val="0"/>
          <w:i w:val="0"/>
          <w:iCs w:val="0"/>
          <w:color w:val="000000"/>
          <w:sz w:val="21"/>
          <w:szCs w:val="21"/>
          <w:u w:val="none"/>
          <w:vertAlign w:val="baseline"/>
          <w:lang w:val="en-US" w:eastAsia="zh-CN"/>
        </w:rPr>
        <w:t>·</w:t>
      </w:r>
      <w:r>
        <w:rPr>
          <w:rFonts w:hint="default" w:ascii="Arial" w:hAnsi="Arial" w:cs="Arial"/>
          <w:b w:val="0"/>
          <w:bCs w:val="0"/>
          <w:i w:val="0"/>
          <w:iCs w:val="0"/>
          <w:color w:val="000000"/>
          <w:sz w:val="21"/>
          <w:szCs w:val="21"/>
          <w:u w:val="none"/>
          <w:vertAlign w:val="baseline"/>
        </w:rPr>
        <w:t>Mandating compliance with all applicable laws, regulations, and the GCL SI Business Partner Code of Conduct;</w:t>
      </w:r>
    </w:p>
    <w:p w14:paraId="4BC413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17" w:lineRule="atLeast"/>
        <w:jc w:val="both"/>
        <w:textAlignment w:val="auto"/>
        <w:rPr>
          <w:rFonts w:hint="default" w:ascii="Arial" w:hAnsi="Arial" w:cs="Arial"/>
          <w:b w:val="0"/>
          <w:bCs w:val="0"/>
          <w:i w:val="0"/>
          <w:iCs w:val="0"/>
          <w:color w:val="000000"/>
          <w:sz w:val="21"/>
          <w:szCs w:val="21"/>
          <w:u w:val="none"/>
          <w:vertAlign w:val="baseline"/>
        </w:rPr>
      </w:pPr>
      <w:r>
        <w:rPr>
          <w:rFonts w:hint="eastAsia" w:ascii="Arial" w:hAnsi="Arial" w:cs="Arial"/>
          <w:b w:val="0"/>
          <w:bCs w:val="0"/>
          <w:i w:val="0"/>
          <w:iCs w:val="0"/>
          <w:color w:val="000000"/>
          <w:sz w:val="21"/>
          <w:szCs w:val="21"/>
          <w:u w:val="none"/>
          <w:vertAlign w:val="baseline"/>
          <w:lang w:val="en-US" w:eastAsia="zh-CN"/>
        </w:rPr>
        <w:t>·</w:t>
      </w:r>
      <w:r>
        <w:rPr>
          <w:rFonts w:hint="default" w:ascii="Arial" w:hAnsi="Arial" w:cs="Arial"/>
          <w:b w:val="0"/>
          <w:bCs w:val="0"/>
          <w:i w:val="0"/>
          <w:iCs w:val="0"/>
          <w:color w:val="000000"/>
          <w:sz w:val="21"/>
          <w:szCs w:val="21"/>
          <w:u w:val="none"/>
          <w:vertAlign w:val="baseline"/>
        </w:rPr>
        <w:t>Excluding suppliers from our network in cases of major safety, environmental, or labor-rights violations.</w:t>
      </w:r>
    </w:p>
    <w:p w14:paraId="75F43750">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17" w:lineRule="atLeast"/>
        <w:jc w:val="both"/>
        <w:textAlignment w:val="auto"/>
        <w:rPr>
          <w:rFonts w:hint="default" w:ascii="Arial" w:hAnsi="Arial" w:cs="Arial"/>
          <w:b w:val="0"/>
          <w:bCs w:val="0"/>
          <w:sz w:val="21"/>
          <w:szCs w:val="21"/>
        </w:rPr>
      </w:pPr>
      <w:r>
        <w:rPr>
          <w:rFonts w:hint="default" w:ascii="Arial" w:hAnsi="Arial" w:cs="Arial"/>
          <w:b w:val="0"/>
          <w:bCs w:val="0"/>
          <w:i w:val="0"/>
          <w:iCs w:val="0"/>
          <w:color w:val="000000"/>
          <w:sz w:val="21"/>
          <w:szCs w:val="21"/>
          <w:u w:val="none"/>
          <w:vertAlign w:val="baseline"/>
        </w:rPr>
        <w:t>Through these comprehensive measures, GCL SI ensures that environmental stewardship, sound governance, and respect for human and labor rights are embedded in every stage of our supplier management and procurement processes.</w:t>
      </w:r>
    </w:p>
    <w:p w14:paraId="114A85F8">
      <w:pPr>
        <w:keepNext w:val="0"/>
        <w:keepLines w:val="0"/>
        <w:pageBreakBefore w:val="0"/>
        <w:widowControl w:val="0"/>
        <w:kinsoku/>
        <w:wordWrap/>
        <w:overflowPunct/>
        <w:topLinePunct w:val="0"/>
        <w:autoSpaceDE/>
        <w:autoSpaceDN/>
        <w:bidi w:val="0"/>
        <w:adjustRightInd/>
        <w:snapToGrid w:val="0"/>
        <w:spacing w:after="157" w:afterLines="50" w:line="570" w:lineRule="exact"/>
        <w:jc w:val="both"/>
        <w:textAlignment w:val="auto"/>
        <w:rPr>
          <w:rFonts w:hint="default" w:ascii="Arial" w:hAnsi="Arial" w:eastAsia="华文中宋" w:cs="Arial"/>
          <w:b/>
          <w:sz w:val="24"/>
          <w:szCs w:val="24"/>
          <w:u w:val="none"/>
          <w:lang w:eastAsia="zh-CN"/>
        </w:rPr>
      </w:pPr>
    </w:p>
    <w:sectPr>
      <w:headerReference r:id="rId3" w:type="default"/>
      <w:footerReference r:id="rId4" w:type="default"/>
      <w:pgSz w:w="11906" w:h="16838"/>
      <w:pgMar w:top="720" w:right="720" w:bottom="720" w:left="720" w:header="851" w:footer="3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D-DIN">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ECEA7">
    <w:pPr>
      <w:pStyle w:val="2"/>
      <w:spacing w:line="200" w:lineRule="exact"/>
    </w:pPr>
    <w:r>
      <w:drawing>
        <wp:anchor distT="0" distB="0" distL="114300" distR="114300" simplePos="0" relativeHeight="251660288" behindDoc="1" locked="0" layoutInCell="1" allowOverlap="1">
          <wp:simplePos x="0" y="0"/>
          <wp:positionH relativeFrom="column">
            <wp:posOffset>-477520</wp:posOffset>
          </wp:positionH>
          <wp:positionV relativeFrom="paragraph">
            <wp:posOffset>-326390</wp:posOffset>
          </wp:positionV>
          <wp:extent cx="7570470" cy="707390"/>
          <wp:effectExtent l="0" t="0" r="1143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7570470" cy="707390"/>
                  </a:xfrm>
                  <a:prstGeom prst="rect">
                    <a:avLst/>
                  </a:prstGeom>
                  <a:noFill/>
                  <a:ln>
                    <a:noFill/>
                  </a:ln>
                </pic:spPr>
              </pic:pic>
            </a:graphicData>
          </a:graphic>
        </wp:anchor>
      </w:drawing>
    </w:r>
    <w:r>
      <w:rPr>
        <w:rFonts w:hint="eastAsia" w:ascii="微软雅黑" w:hAnsi="微软雅黑" w:eastAsia="微软雅黑" w:cs="D-DIN"/>
        <w:color w:val="58595B"/>
        <w:spacing w:val="1"/>
        <w:sz w:val="14"/>
        <w:szCs w:val="14"/>
      </w:rPr>
      <w:t xml:space="preserve">                            </w:t>
    </w:r>
    <w:r>
      <w:rPr>
        <w:rFonts w:ascii="微软雅黑" w:hAnsi="微软雅黑" w:eastAsia="微软雅黑" w:cs="D-DIN"/>
        <w:color w:val="58595B"/>
        <w:spacing w:val="1"/>
        <w:sz w:val="14"/>
        <w:szCs w:val="14"/>
      </w:rPr>
      <w:t xml:space="preserve">                                            </w:t>
    </w:r>
    <w:r>
      <w:rPr>
        <w:rFonts w:ascii="微软雅黑" w:hAnsi="微软雅黑" w:eastAsia="微软雅黑" w:cs="D-DIN"/>
        <w:color w:val="58595B"/>
        <w:sz w:val="14"/>
        <w:szCs w:val="14"/>
      </w:rPr>
      <w:t xml:space="preserve">                      </w:t>
    </w:r>
    <w:r>
      <w:rPr>
        <w:rFonts w:ascii="D-DIN" w:hAnsi="D-DIN" w:cs="D-DIN"/>
        <w:color w:val="58595B"/>
        <w:sz w:val="14"/>
        <w:szCs w:val="14"/>
      </w:rPr>
      <w:t xml:space="preserve">       </w:t>
    </w:r>
    <w:r>
      <w:rPr>
        <w:color w:val="58595B"/>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6051C">
    <w:pPr>
      <w:pStyle w:val="3"/>
      <w:rPr>
        <w:rFonts w:hint="eastAsia" w:eastAsiaTheme="minorEastAsia"/>
        <w:lang w:eastAsia="zh-CN"/>
      </w:rPr>
    </w:pPr>
    <w:r>
      <w:rPr>
        <w:rFonts w:hint="eastAsia"/>
        <w:lang w:val="en-US" w:eastAsia="zh-CN"/>
      </w:rPr>
      <w:t xml:space="preserve">                                                                           </w:t>
    </w:r>
    <w:r>
      <w:rPr>
        <w:rFonts w:hint="eastAsia"/>
      </w:rPr>
      <w:drawing>
        <wp:anchor distT="0" distB="0" distL="114300" distR="114300" simplePos="0" relativeHeight="251659264" behindDoc="0" locked="0" layoutInCell="1" allowOverlap="1">
          <wp:simplePos x="0" y="0"/>
          <wp:positionH relativeFrom="column">
            <wp:posOffset>92710</wp:posOffset>
          </wp:positionH>
          <wp:positionV relativeFrom="paragraph">
            <wp:posOffset>99060</wp:posOffset>
          </wp:positionV>
          <wp:extent cx="2076450" cy="517525"/>
          <wp:effectExtent l="0" t="0" r="0" b="15875"/>
          <wp:wrapNone/>
          <wp:docPr id="4" name="图片 4" descr="资源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资源 1666"/>
                  <pic:cNvPicPr>
                    <a:picLocks noChangeAspect="1"/>
                  </pic:cNvPicPr>
                </pic:nvPicPr>
                <pic:blipFill>
                  <a:blip r:embed="rId1"/>
                  <a:stretch>
                    <a:fillRect/>
                  </a:stretch>
                </pic:blipFill>
                <pic:spPr>
                  <a:xfrm>
                    <a:off x="0" y="0"/>
                    <a:ext cx="2076450" cy="517525"/>
                  </a:xfrm>
                  <a:prstGeom prst="rect">
                    <a:avLst/>
                  </a:prstGeom>
                </pic:spPr>
              </pic:pic>
            </a:graphicData>
          </a:graphic>
        </wp:anchor>
      </w:drawing>
    </w:r>
  </w:p>
  <w:p w14:paraId="55EB25DD">
    <w:pPr>
      <w:adjustRightInd w:val="0"/>
      <w:spacing w:line="0" w:lineRule="atLeast"/>
      <w:ind w:firstLine="4620" w:firstLineChars="2200"/>
      <w:contextualSpacing/>
      <w:jc w:val="left"/>
      <w:rPr>
        <w:rFonts w:ascii="宋体" w:hAnsi="宋体"/>
        <w:b/>
        <w:color w:val="8DB3E2"/>
        <w:sz w:val="32"/>
        <w:szCs w:val="32"/>
      </w:rPr>
    </w:pPr>
    <w:r>
      <w:rPr>
        <w:rFonts w:hint="eastAsia"/>
        <w:lang w:val="en-US" w:eastAsia="zh-CN"/>
      </w:rPr>
      <w:t xml:space="preserve">                                                 </w:t>
    </w:r>
  </w:p>
  <w:p w14:paraId="6CC03FF9">
    <w:pPr>
      <w:pStyle w:val="3"/>
    </w:pPr>
  </w:p>
  <w:p w14:paraId="45166C3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ZWU4NzEyMDQzMzU2NzA0NTNkMzk5ZmNjNmY0YTcifQ=="/>
  </w:docVars>
  <w:rsids>
    <w:rsidRoot w:val="12141E1A"/>
    <w:rsid w:val="00033929"/>
    <w:rsid w:val="002A5A1D"/>
    <w:rsid w:val="003024AF"/>
    <w:rsid w:val="004E417F"/>
    <w:rsid w:val="00617B57"/>
    <w:rsid w:val="00770BEE"/>
    <w:rsid w:val="00806240"/>
    <w:rsid w:val="00AD794E"/>
    <w:rsid w:val="00D07354"/>
    <w:rsid w:val="00D32BDC"/>
    <w:rsid w:val="00E966BF"/>
    <w:rsid w:val="00F055A6"/>
    <w:rsid w:val="023160B5"/>
    <w:rsid w:val="12141E1A"/>
    <w:rsid w:val="19985879"/>
    <w:rsid w:val="1EFB1EEA"/>
    <w:rsid w:val="296B101D"/>
    <w:rsid w:val="3B4842EC"/>
    <w:rsid w:val="4EC20298"/>
    <w:rsid w:val="4F0D579E"/>
    <w:rsid w:val="5099474A"/>
    <w:rsid w:val="59932D2E"/>
    <w:rsid w:val="6603524B"/>
    <w:rsid w:val="6DF26FC2"/>
    <w:rsid w:val="73482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Table Text"/>
    <w:basedOn w:val="1"/>
    <w:semiHidden/>
    <w:qFormat/>
    <w:uiPriority w:val="0"/>
    <w:rPr>
      <w:rFonts w:ascii="Arial" w:hAnsi="Arial" w:eastAsia="Arial" w:cs="Arial"/>
      <w:szCs w:val="21"/>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34"/>
    <w:pPr>
      <w:ind w:left="720"/>
      <w:contextualSpacing/>
    </w:pPr>
  </w:style>
  <w:style w:type="paragraph" w:customStyle="1" w:styleId="10">
    <w:name w:val="pf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890</Words>
  <Characters>5300</Characters>
  <Lines>0</Lines>
  <Paragraphs>0</Paragraphs>
  <TotalTime>1</TotalTime>
  <ScaleCrop>false</ScaleCrop>
  <LinksUpToDate>false</LinksUpToDate>
  <CharactersWithSpaces>6172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2024-12-31T02:12:00Z</dcterms:created>
  <dc:creator>暗部在发光</dc:creator>
  <cp:lastModifiedBy>Zy杰</cp:lastModifiedBy>
  <cp:lastPrinted>2025-02-28T01:32:00Z</cp:lastPrinted>
  <dcterms:modified xsi:type="dcterms:W3CDTF">2025-10-24T08:57:21Z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074E6FC7891041FE93FFEE06B244AC40_13</vt:lpwstr>
  </property>
  <property fmtid="{D5CDD505-2E9C-101B-9397-08002B2CF9AE}" pid="4" name="KSOTemplateDocerSaveRecord">
    <vt:lpwstr>eyJoZGlkIjoiYzg4MDU5ZWI5MzU1ZDk3NDM5MjY2ODViYzRkMTIwZDIiLCJ1c2VySWQiOiI0NDE3OTMyNzgifQ==</vt:lpwstr>
  </property>
</Properties>
</file>